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29</w:t>
      </w:r>
      <w:r>
        <w:rPr>
          <w:rFonts w:cs="Calibri" w:ascii="Arial" w:hAnsi="Arial"/>
          <w:b/>
          <w:color w:val="000000"/>
          <w:sz w:val="20"/>
          <w:szCs w:val="20"/>
        </w:rPr>
        <w:t>.0</w:t>
      </w:r>
      <w:r>
        <w:rPr>
          <w:rFonts w:cs="Calibri" w:ascii="Arial" w:hAnsi="Arial"/>
          <w:b/>
          <w:color w:val="000000"/>
          <w:sz w:val="20"/>
          <w:szCs w:val="20"/>
        </w:rPr>
        <w:t>7</w:t>
      </w:r>
      <w:r>
        <w:rPr>
          <w:rFonts w:cs="Calibri" w:ascii="Arial" w:hAnsi="Arial"/>
          <w:b/>
          <w:color w:val="000000"/>
          <w:sz w:val="20"/>
          <w:szCs w:val="20"/>
        </w:rPr>
        <w:t>.202</w:t>
      </w:r>
      <w:r>
        <w:rPr>
          <w:rFonts w:cs="Calibri" w:ascii="Arial" w:hAnsi="Arial"/>
          <w:b/>
          <w:color w:val="000000"/>
          <w:sz w:val="20"/>
          <w:szCs w:val="20"/>
        </w:rPr>
        <w:t>2</w:t>
      </w:r>
    </w:p>
    <w:p>
      <w:pPr>
        <w:pStyle w:val="Default"/>
        <w:spacing w:lineRule="auto" w:line="360"/>
        <w:jc w:val="center"/>
        <w:rPr>
          <w:rFonts w:cs="Calibri"/>
          <w:b/>
          <w:b/>
          <w:sz w:val="20"/>
          <w:szCs w:val="20"/>
        </w:rPr>
      </w:pPr>
      <w:r>
        <w:rPr>
          <w:rFonts w:cs="Calibri"/>
          <w:b/>
          <w:sz w:val="20"/>
          <w:szCs w:val="20"/>
        </w:rPr>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5/2022/0086/9.1.1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color w:val="000000"/>
          <w:sz w:val="20"/>
          <w:szCs w:val="20"/>
        </w:rPr>
        <w:t xml:space="preserve">1. </w:t>
      </w:r>
      <w:r>
        <w:rPr>
          <w:rFonts w:cs="Calibri" w:ascii="Arial" w:hAnsi="Arial"/>
          <w:b w:val="false"/>
          <w:bCs w:val="false"/>
          <w:color w:val="000000"/>
          <w:sz w:val="20"/>
          <w:szCs w:val="20"/>
        </w:rPr>
        <w:t>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 xml:space="preserve">1. W związku z realizacją projektu "Nowy zawód - nowa praca", zapraszamy do składania ofert na realizację usługi: radca prawny </w:t>
      </w:r>
      <w:r>
        <w:rPr>
          <w:rFonts w:cs="Calibri" w:ascii="Arial" w:hAnsi="Arial"/>
          <w:color w:val="000000"/>
          <w:sz w:val="20"/>
          <w:szCs w:val="20"/>
        </w:rPr>
        <w:t>wraz z usługą tłumacza języka ukraińskiego</w:t>
      </w:r>
      <w:r>
        <w:rPr>
          <w:rFonts w:cs="Calibri" w:ascii="Arial" w:hAnsi="Arial"/>
          <w:color w:val="000000"/>
          <w:sz w:val="20"/>
          <w:szCs w:val="20"/>
        </w:rPr>
        <w:t>.</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rozeznania rynku.</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poniżej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79100000-5 Usługi prawnicze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 xml:space="preserve">świadczenie usług radcy prawnego </w:t>
      </w:r>
      <w:r>
        <w:rPr>
          <w:rFonts w:cs="Calibri" w:ascii="Arial" w:hAnsi="Arial"/>
          <w:color w:val="000000"/>
          <w:sz w:val="20"/>
          <w:szCs w:val="20"/>
        </w:rPr>
        <w:t>wraz z usługą tłumacza języka ukraińskiego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20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"Nowy zawód - nowa praca",</w:t>
      </w:r>
      <w:r>
        <w:rPr>
          <w:rFonts w:cs="Calibri" w:ascii="Arial" w:hAnsi="Arial"/>
          <w:color w:val="000000"/>
          <w:sz w:val="20"/>
          <w:szCs w:val="20"/>
        </w:rPr>
        <w:t xml:space="preserve"> w wymiarze 1 godziny zegarowej na osobę, łącznie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godzin zegarowych. Uczestnikami projektu jest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w:t>
      </w:r>
      <w:r>
        <w:rPr>
          <w:rFonts w:eastAsia="Calibri" w:cs="Calibri" w:ascii="Arial" w:hAnsi="Arial"/>
          <w:b w:val="false"/>
          <w:bCs w:val="false"/>
          <w:color w:val="000000"/>
          <w:kern w:val="0"/>
          <w:sz w:val="20"/>
          <w:szCs w:val="20"/>
          <w:lang w:val="pl-PL" w:eastAsia="zh-CN" w:bidi="ar-SA"/>
        </w:rPr>
        <w:t>osób, którym udzielono ochrony czasowej w związku z wojną w Ukrainie zamieszkujących 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bookmarkStart w:id="1" w:name="__DdeLink__806_1742956467"/>
      <w:r>
        <w:rPr>
          <w:rFonts w:cs="Calibri"/>
          <w:sz w:val="20"/>
          <w:szCs w:val="20"/>
        </w:rPr>
        <w:t xml:space="preserve">powiatu </w:t>
      </w:r>
      <w:bookmarkEnd w:id="1"/>
      <w:r>
        <w:rPr>
          <w:rFonts w:eastAsia="Calibri" w:cs="Calibri"/>
          <w:color w:val="000000"/>
          <w:kern w:val="0"/>
          <w:sz w:val="20"/>
          <w:szCs w:val="20"/>
          <w:lang w:val="pl-PL" w:eastAsia="zh-CN" w:bidi="ar-SA"/>
        </w:rPr>
        <w:t>dzierżoniowskiego</w:t>
      </w:r>
      <w:r>
        <w:rPr>
          <w:rFonts w:cs="Calibri"/>
          <w:sz w:val="20"/>
          <w:szCs w:val="20"/>
        </w:rPr>
        <w:t xml:space="preserve">, powiatu </w:t>
      </w:r>
      <w:r>
        <w:rPr>
          <w:rFonts w:eastAsia="Calibri" w:cs="Calibri"/>
          <w:color w:val="000000"/>
          <w:kern w:val="0"/>
          <w:sz w:val="20"/>
          <w:szCs w:val="20"/>
          <w:lang w:val="pl-PL" w:eastAsia="zh-CN" w:bidi="ar-SA"/>
        </w:rPr>
        <w:t>kłodzkiego</w:t>
      </w:r>
      <w:r>
        <w:rPr>
          <w:rFonts w:cs="Calibri"/>
          <w:sz w:val="20"/>
          <w:szCs w:val="20"/>
        </w:rPr>
        <w:t xml:space="preserve">, powiatu </w:t>
      </w:r>
      <w:r>
        <w:rPr>
          <w:rFonts w:eastAsia="Calibri" w:cs="Calibri"/>
          <w:color w:val="000000"/>
          <w:kern w:val="0"/>
          <w:sz w:val="20"/>
          <w:szCs w:val="20"/>
          <w:lang w:val="pl-PL" w:eastAsia="zh-CN" w:bidi="ar-SA"/>
        </w:rPr>
        <w:t>ząbkowickiego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poradnictwa prawnego jest</w:t>
      </w:r>
      <w:r>
        <w:rPr>
          <w:rStyle w:val="Wstep"/>
          <w:rFonts w:cs="Calibri" w:ascii="Arial" w:hAnsi="Arial"/>
          <w:color w:val="000000"/>
          <w:sz w:val="20"/>
          <w:szCs w:val="20"/>
        </w:rPr>
        <w:t xml:space="preserve"> udzielenie uczestnikom projektu informacji o obowiązujących przepisach z zakresu prawa rodzinnego i opiekuńczego, społecznego, ochrony praw lokatorów i inne</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1 godzina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2" w:name="__DdeLink__1011_56956280"/>
      <w:r>
        <w:rPr>
          <w:rFonts w:cs="Calibri" w:ascii="Arial" w:hAnsi="Arial"/>
          <w:color w:val="000000"/>
          <w:sz w:val="20"/>
          <w:szCs w:val="20"/>
        </w:rPr>
        <w:t>od dnia zawarcia umowy i nie później niż do 30.09.202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w:t>
      </w:r>
      <w:bookmarkEnd w:id="2"/>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2)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3) Informowanie Uczestników/Uczestniczek Projektu o wymogu aktywnego uczestnictwa w zajęciach oraz dopilnowanie </w:t>
        <w:tab/>
        <w:t>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4)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5)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6)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7)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w:t>
        <w:tab/>
        <w:t xml:space="preserve">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w:t>
        <w:tab/>
        <w:t xml:space="preserve">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w:t>
        <w:tab/>
        <w:t xml:space="preserve">konsultacji,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w:t>
        <w:tab/>
        <w:t xml:space="preserve">i zaakceptowanych przez Instytucję Pośredniczącą w umowie o </w:t>
        <w:tab/>
        <w:t xml:space="preserve">dofinansowanie/wniosku  o  </w:t>
        <w:tab/>
        <w:t xml:space="preserve">dofinansowanie realizacji Projektu, jak  również ze względu na wyniki rekrutacji Uczestników </w:t>
        <w:tab/>
        <w:t>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radcą prawnym  legitymującym się:</w:t>
      </w:r>
    </w:p>
    <w:p>
      <w:pPr>
        <w:pStyle w:val="Normal"/>
        <w:spacing w:lineRule="auto" w:line="360" w:before="0" w:after="0"/>
        <w:jc w:val="both"/>
        <w:rPr/>
      </w:pPr>
      <w:r>
        <w:rPr>
          <w:rFonts w:cs="Calibri" w:ascii="Arial" w:hAnsi="Arial"/>
          <w:color w:val="000000"/>
          <w:sz w:val="20"/>
          <w:szCs w:val="20"/>
        </w:rPr>
        <w:tab/>
        <w:t xml:space="preserve">wykształcenie wyższe pierwszego lub drugiego stopnia w rozumieniu przepisów o </w:t>
        <w:tab/>
        <w:t xml:space="preserve">szkolnictwie wyższym (tj. wykształcenie wyższe na kierunku  prawo). Wykonawca jest </w:t>
        <w:tab/>
        <w:t xml:space="preserve">zobowiązany </w:t>
        <w:tab/>
        <w:t xml:space="preserve">załączyć kopie dokumentów potwierdzających posiadane wykształcenie oraz </w:t>
        <w:tab/>
        <w:t xml:space="preserve">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pPr>
            <w:r>
              <w:rPr>
                <w:rFonts w:ascii="Arial" w:hAnsi="Arial"/>
                <w:color w:val="000000"/>
                <w:sz w:val="20"/>
                <w:szCs w:val="20"/>
              </w:rPr>
              <w:t>C – liczba punktów badanej oferty za cenę za całość zamówienia</w:t>
            </w:r>
          </w:p>
          <w:p>
            <w:pPr>
              <w:pStyle w:val="Zawartotabeli"/>
              <w:spacing w:before="0" w:after="86"/>
              <w:jc w:val="center"/>
              <w:rPr/>
            </w:pPr>
            <w:r>
              <w:rPr>
                <w:rFonts w:ascii="Arial" w:hAnsi="Arial"/>
                <w:color w:val="000000"/>
                <w:sz w:val="20"/>
                <w:szCs w:val="20"/>
              </w:rPr>
              <w:t>NC – cena oferty o najniższej cenie</w:t>
            </w:r>
          </w:p>
          <w:p>
            <w:pPr>
              <w:pStyle w:val="Zawartotabeli"/>
              <w:spacing w:before="114" w:after="20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2.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5.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2002 r. o minimalnym wynagrodzeniu za pracę (Dz. </w:t>
        <w:tab/>
        <w:t>U. z 2015 r. poz. 1008 oraz z 2016 r. poz. 1265);</w:t>
      </w:r>
    </w:p>
    <w:p>
      <w:pPr>
        <w:pStyle w:val="Normal"/>
        <w:spacing w:lineRule="auto" w:line="360" w:before="0" w:after="0"/>
        <w:jc w:val="both"/>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11</w:t>
      </w:r>
      <w:r>
        <w:rPr>
          <w:rFonts w:cs="Calibri" w:ascii="Arial" w:hAnsi="Arial"/>
          <w:color w:val="000000"/>
          <w:sz w:val="20"/>
          <w:szCs w:val="20"/>
        </w:rPr>
        <w:t xml:space="preserve"> s</w:t>
      </w:r>
      <w:r>
        <w:rPr>
          <w:rFonts w:eastAsia="Calibri" w:cs="Calibri" w:ascii="Arial" w:hAnsi="Arial"/>
          <w:color w:val="000000"/>
          <w:kern w:val="0"/>
          <w:sz w:val="20"/>
          <w:szCs w:val="20"/>
          <w:lang w:val="pl-PL" w:eastAsia="zh-CN" w:bidi="ar-SA"/>
        </w:rPr>
        <w:t>ierpni</w:t>
      </w:r>
      <w:r>
        <w:rPr>
          <w:rFonts w:cs="Calibri" w:ascii="Arial" w:hAnsi="Arial"/>
          <w:color w:val="000000"/>
          <w:sz w:val="20"/>
          <w:szCs w:val="20"/>
        </w:rPr>
        <w:t>a 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 do godziny 14.00 w siedzibie Zamawiającego pod adresem: Fundacja „Optimho Modo”, ul. Karola Miarki 48, 58-500 Jelenia Góra lub przesłać drogą elektroniczną na adres e-mail: optimomodo@interia.pl z tytułem wiadomości "OFERTA W RAMACH ZAPYTANIA 5/2022/0086/9.1.1”.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5/2022/0086/9.1.1”.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firstLine="284"/>
        <w:jc w:val="both"/>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5/2022/0086</w:t>
      </w:r>
      <w:r>
        <w:rPr>
          <w:rFonts w:eastAsia="Times New Roman" w:cs="" w:ascii="Arial" w:hAnsi="Arial" w:cstheme="minorHAnsi"/>
          <w:b/>
          <w:spacing w:val="-4"/>
          <w:sz w:val="22"/>
          <w:szCs w:val="22"/>
        </w:rPr>
        <w:t>/9.1.1</w:t>
      </w:r>
      <w:r>
        <w:rPr>
          <w:rFonts w:cs="" w:ascii="Arial" w:hAnsi="Arial" w:cstheme="minorHAnsi"/>
          <w:sz w:val="22"/>
          <w:szCs w:val="22"/>
        </w:rPr>
        <w:t xml:space="preserve">, na przeprowadzenie poradnictwa prawnego </w:t>
      </w:r>
      <w:r>
        <w:rPr>
          <w:rFonts w:cs="Calibri" w:ascii="Arial" w:hAnsi="Arial"/>
          <w:color w:val="000000"/>
          <w:sz w:val="22"/>
          <w:szCs w:val="22"/>
        </w:rPr>
        <w:t>wraz z usługą tłumacza języka ukraińskiego</w:t>
      </w:r>
      <w:r>
        <w:rPr>
          <w:rFonts w:cs="" w:ascii="Arial" w:hAnsi="Arial" w:cstheme="minorHAnsi"/>
          <w:sz w:val="22"/>
          <w:szCs w:val="22"/>
        </w:rPr>
        <w:t xml:space="preserve"> w ramach projektu „</w:t>
      </w:r>
      <w:r>
        <w:rPr>
          <w:rFonts w:cs="Calibri" w:ascii="Arial" w:hAnsi="Arial"/>
          <w:b w:val="false"/>
          <w:bCs w:val="false"/>
          <w:color w:val="000000"/>
          <w:sz w:val="22"/>
          <w:szCs w:val="22"/>
          <w:lang w:val="pl-PL" w:eastAsia="pl-PL"/>
        </w:rPr>
        <w:t>Nowy zawód - nowa praca</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GODZINĘ </w:t>
            </w:r>
            <w:r>
              <w:rPr>
                <w:rFonts w:eastAsia="Calibri" w:cs="Times New Roman" w:ascii="Arial" w:hAnsi="Arial"/>
                <w:b/>
                <w:bCs/>
                <w:color w:val="00000A"/>
                <w:kern w:val="0"/>
                <w:sz w:val="22"/>
                <w:szCs w:val="22"/>
                <w:lang w:val="pl-PL" w:eastAsia="zh-CN" w:bidi="ar-SA"/>
              </w:rPr>
              <w:t>USŁUGI</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Czytelny podpis Wykonawcy</w:t>
            </w:r>
          </w:p>
          <w:p>
            <w:pPr>
              <w:pStyle w:val="Normal"/>
              <w:spacing w:lineRule="auto" w:line="240" w:before="0" w:after="0"/>
              <w:ind w:left="646" w:hanging="0"/>
              <w:jc w:val="both"/>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tbl>
      <w:tblPr>
        <w:tblW w:w="9074" w:type="dxa"/>
        <w:jc w:val="left"/>
        <w:tblInd w:w="0" w:type="dxa"/>
        <w:tblCellMar>
          <w:top w:w="55" w:type="dxa"/>
          <w:left w:w="45"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 xml:space="preserve">nr </w:t>
      </w:r>
      <w:bookmarkStart w:id="3" w:name="__DdeLink__13579_3900472925"/>
      <w:r>
        <w:rPr>
          <w:rFonts w:eastAsia="Times New Roman" w:cs="" w:ascii="Arial" w:hAnsi="Arial" w:cstheme="minorHAnsi"/>
          <w:b/>
          <w:color w:val="000000"/>
          <w:spacing w:val="-4"/>
          <w:sz w:val="22"/>
          <w:szCs w:val="22"/>
        </w:rPr>
        <w:t>5/2022/0086/</w:t>
      </w:r>
      <w:bookmarkEnd w:id="3"/>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xml:space="preserve">, na przeprowadzenie poradnictwa prawnego </w:t>
      </w:r>
      <w:r>
        <w:rPr>
          <w:rFonts w:cs="Calibri" w:ascii="Arial" w:hAnsi="Arial"/>
          <w:color w:val="000000"/>
          <w:spacing w:val="-4"/>
          <w:sz w:val="22"/>
          <w:szCs w:val="22"/>
        </w:rPr>
        <w:t>wraz z usługą tłumacza języka ukraińskiego</w:t>
      </w:r>
      <w:r>
        <w:rPr>
          <w:rFonts w:cs=""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Nowy zawód - nowa praca</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spacing w:before="0" w:after="200"/>
        <w:ind w:hanging="0"/>
        <w:contextualSpacing/>
        <w:jc w:val="right"/>
        <w:rPr/>
      </w:pPr>
      <w:r>
        <w:rPr/>
      </w:r>
    </w:p>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5">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1754</TotalTime>
  <Application>LibreOffice/6.4.7.2$Linux_X86_64 LibreOffice_project/40$Build-2</Application>
  <Pages>14</Pages>
  <Words>3714</Words>
  <Characters>25040</Characters>
  <CharactersWithSpaces>28742</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2020-02-04T16:44:25Z</cp:lastPrinted>
  <dcterms:modified xsi:type="dcterms:W3CDTF">2022-07-28T11:09:03Z</dcterms:modified>
  <cp:revision>71</cp:revision>
  <dc:subject/>
  <dc:title/>
</cp:coreProperties>
</file>