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w:t>
      </w:r>
      <w:r>
        <w:rPr>
          <w:rFonts w:eastAsia="Calibri" w:cs="Calibri" w:ascii="Arial" w:hAnsi="Arial"/>
          <w:b/>
          <w:color w:val="000000"/>
          <w:kern w:val="0"/>
          <w:sz w:val="20"/>
          <w:szCs w:val="20"/>
          <w:lang w:val="pl-PL" w:eastAsia="zh-CN" w:bidi="ar-SA"/>
        </w:rPr>
        <w:t>7</w:t>
      </w:r>
      <w:r>
        <w:rPr>
          <w:rFonts w:cs="Calibri" w:ascii="Arial" w:hAnsi="Arial"/>
          <w:b/>
          <w:color w:val="000000"/>
          <w:sz w:val="20"/>
          <w:szCs w:val="20"/>
        </w:rPr>
        <w:t>.01.2023</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2/2023/0086/9.1.1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"Od motywacji do kwalifikacji", zapraszamy do składania ofert na realizację usługi psychologa.</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85121270-6 </w:t>
      </w:r>
      <w:r>
        <w:rPr>
          <w:rFonts w:cs="Calibri" w:ascii="Arial" w:hAnsi="Arial"/>
          <w:b/>
          <w:bCs/>
          <w:color w:val="000000"/>
          <w:sz w:val="20"/>
          <w:szCs w:val="20"/>
        </w:rPr>
        <w:t>Usługi psychiatryczne i psychologiczne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psychologa</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pt. "Od motywacji do kwalifikacji"</w:t>
      </w:r>
      <w:r>
        <w:rPr>
          <w:rFonts w:cs="Calibri" w:ascii="Arial" w:hAnsi="Arial"/>
          <w:b w:val="false"/>
          <w:bCs w:val="false"/>
          <w:color w:val="000000"/>
          <w:sz w:val="20"/>
          <w:szCs w:val="20"/>
        </w:rPr>
        <w:t xml:space="preserve">, w wymiarze 5 godzin zegarowych na osobę, łącznie </w:t>
      </w:r>
      <w:r>
        <w:rPr>
          <w:rFonts w:eastAsia="Calibri" w:cs="Calibri" w:ascii="Arial" w:hAnsi="Arial"/>
          <w:b w:val="false"/>
          <w:bCs w:val="false"/>
          <w:color w:val="000000"/>
          <w:kern w:val="0"/>
          <w:sz w:val="20"/>
          <w:szCs w:val="20"/>
          <w:lang w:val="pl-PL" w:eastAsia="zh-CN" w:bidi="ar-SA"/>
        </w:rPr>
        <w:t>300</w:t>
      </w:r>
      <w:r>
        <w:rPr>
          <w:rFonts w:cs="Calibri" w:ascii="Arial" w:hAnsi="Arial"/>
          <w:b w:val="false"/>
          <w:bCs w:val="false"/>
          <w:color w:val="000000"/>
          <w:sz w:val="20"/>
          <w:szCs w:val="20"/>
        </w:rPr>
        <w:t xml:space="preserve"> godzin zegarowych. Uczestnikami projektu jest </w:t>
      </w:r>
      <w:r>
        <w:rPr>
          <w:rFonts w:eastAsia="Calibri" w:cs="Calibri" w:ascii="Arial" w:hAnsi="Arial"/>
          <w:b w:val="false"/>
          <w:bCs w:val="false"/>
          <w:color w:val="000000"/>
          <w:kern w:val="0"/>
          <w:sz w:val="20"/>
          <w:szCs w:val="20"/>
          <w:lang w:val="pl-PL" w:eastAsia="zh-CN" w:bidi="ar-SA"/>
        </w:rPr>
        <w:t>60</w:t>
      </w:r>
      <w:r>
        <w:rPr>
          <w:rFonts w:cs="Calibri" w:ascii="Arial" w:hAnsi="Arial"/>
          <w:b w:val="false"/>
          <w:bCs w:val="false"/>
          <w:color w:val="000000"/>
          <w:sz w:val="20"/>
          <w:szCs w:val="20"/>
        </w:rPr>
        <w:t xml:space="preserve"> osób zagrożonych ubóstwem lub wykluczeniem społecznym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bookmarkStart w:id="1" w:name="__DdeLink__1406_4182933596"/>
      <w:r>
        <w:rPr>
          <w:rStyle w:val="Wstep"/>
          <w:rFonts w:cs="Calibri" w:ascii="Arial" w:hAnsi="Arial"/>
          <w:color w:val="000000"/>
          <w:sz w:val="20"/>
          <w:szCs w:val="20"/>
        </w:rPr>
        <w:t xml:space="preserve"> Celem przeprowadzenia poradnictwa psychologicznego jest pomoc uczestnikom projektu poprzez diagnozę, profilaktykę i terapię. </w:t>
      </w:r>
      <w:bookmarkEnd w:id="1"/>
      <w:r>
        <w:rPr>
          <w:rStyle w:val="Wstep"/>
          <w:rFonts w:cs="Calibri" w:ascii="Arial" w:hAnsi="Arial"/>
          <w:color w:val="000000"/>
          <w:sz w:val="20"/>
          <w:szCs w:val="20"/>
        </w:rPr>
        <w:t>Usługę obejmują etapy: identyfikacja trudności, określenie czynników podtrzymujących istnienie problemu, poszukiwanie sposobu przezwyciężania trudności, wzmocnienie uczestnika projektu w realizowanych przez niego zmianach, wspomaganie rozwoju cech sprzyjających poradzeniu sobie w aktualnej sytuacji. 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r>
        <w:rPr>
          <w:rFonts w:cs="Calibri"/>
          <w:color w:val="000000"/>
          <w:sz w:val="20"/>
          <w:szCs w:val="20"/>
        </w:rPr>
        <w:t>p</w:t>
      </w:r>
      <w:r>
        <w:rPr>
          <w:rFonts w:eastAsia="Calibri" w:cs="Calibri"/>
          <w:color w:val="000000"/>
          <w:kern w:val="0"/>
          <w:sz w:val="20"/>
          <w:szCs w:val="20"/>
          <w:lang w:val="pl-PL" w:eastAsia="zh-CN" w:bidi="ar-SA"/>
        </w:rPr>
        <w:t>owiatu dzierżoniowskiego, powiat kłodzkiego, powiat ząbkowickiego</w:t>
      </w:r>
      <w:r>
        <w:rPr>
          <w:rFonts w:cs="Calibri"/>
          <w:sz w:val="20"/>
          <w:szCs w:val="20"/>
        </w:rPr>
        <w:t xml:space="preserve"> w miejscowościach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w:t>
      </w:r>
      <w:r>
        <w:rPr>
          <w:rStyle w:val="Wstep"/>
          <w:rFonts w:cs="Calibri" w:ascii="Arial" w:hAnsi="Arial"/>
          <w:color w:val="000000"/>
          <w:sz w:val="20"/>
          <w:szCs w:val="20"/>
        </w:rPr>
        <w:t xml:space="preserve">poradnictwa psychologicznego jest pomoc uczestnikom projektu poprzez diagnozę, profilaktykę i terapię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2" w:name="_GoBack2"/>
      <w:bookmarkEnd w:id="2"/>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.08.2023 r.</w:t>
      </w:r>
      <w:bookmarkEnd w:id="3"/>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poradnictwa psychologicznego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pPr>
      <w:r>
        <w:rPr>
          <w:rFonts w:cs="Calibri" w:ascii="Arial" w:hAnsi="Arial"/>
          <w:color w:val="000000"/>
          <w:sz w:val="20"/>
          <w:szCs w:val="20"/>
        </w:rPr>
        <w:t>b) wypełnionych przez Uczestników/Uczestniczki usługi oraz sprawdzonych przez Wykonawcę pre- i post- testów,</w:t>
      </w:r>
    </w:p>
    <w:p>
      <w:pPr>
        <w:pStyle w:val="Normal"/>
        <w:spacing w:lineRule="auto" w:line="360" w:before="0" w:after="0"/>
        <w:jc w:val="both"/>
        <w:rPr/>
      </w:pPr>
      <w:r>
        <w:rPr>
          <w:rFonts w:cs="Calibri" w:ascii="Arial" w:hAnsi="Arial"/>
          <w:color w:val="000000"/>
          <w:sz w:val="20"/>
          <w:szCs w:val="20"/>
        </w:rPr>
        <w:t xml:space="preserve">c) oryginałów ankiet ewaluacyjnych wypełnionych przez Uczestników/ Uczestniczki 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 xml:space="preserve">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w:t>
      </w:r>
      <w:r>
        <w:rPr>
          <w:rFonts w:eastAsia="Calibri" w:cs="Calibri" w:ascii="Arial" w:hAnsi="Arial"/>
          <w:color w:val="000000"/>
          <w:kern w:val="0"/>
          <w:sz w:val="20"/>
          <w:szCs w:val="20"/>
          <w:lang w:val="pl-PL" w:eastAsia="zh-CN" w:bidi="ar-SA"/>
        </w:rPr>
        <w:t>doradztwa</w:t>
      </w:r>
      <w:r>
        <w:rPr>
          <w:rFonts w:cs="Calibri" w:ascii="Arial" w:hAnsi="Arial"/>
          <w:color w:val="000000"/>
          <w:sz w:val="20"/>
          <w:szCs w:val="20"/>
        </w:rPr>
        <w:t xml:space="preserve">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pPr>
      <w:r>
        <w:rPr>
          <w:rFonts w:cs="Calibri" w:ascii="Arial" w:hAnsi="Arial"/>
          <w:color w:val="000000"/>
          <w:sz w:val="20"/>
          <w:szCs w:val="20"/>
        </w:rPr>
        <w:t xml:space="preserve">a) w wysokości 5% wartości wynagrodzenia brutto określonego na podstawie planowanej łącznej liczby godzin tej usługi i ceny usługi określonej w Umowie szczegółowej, za </w:t>
        <w:tab/>
        <w:t xml:space="preserve">każdy przypadek nienależytego wykonania zadań /obowiązków. </w:t>
      </w:r>
    </w:p>
    <w:p>
      <w:pPr>
        <w:pStyle w:val="Normal"/>
        <w:spacing w:lineRule="auto" w:line="360" w:before="0" w:after="0"/>
        <w:jc w:val="both"/>
        <w:rPr/>
      </w:pPr>
      <w:r>
        <w:rPr>
          <w:rFonts w:cs="Calibri" w:ascii="Arial" w:hAnsi="Arial"/>
          <w:color w:val="000000"/>
          <w:sz w:val="20"/>
          <w:szCs w:val="20"/>
        </w:rPr>
        <w:t>Za nienależyte wykonanie umowy rozumie się niezgodne z opisem przedmiotu umowy wykonanie zamówienia, w 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poradnictwa psychologicznego;</w:t>
      </w:r>
    </w:p>
    <w:p>
      <w:pPr>
        <w:pStyle w:val="Normal"/>
        <w:spacing w:lineRule="auto" w:line="360" w:before="0" w:after="0"/>
        <w:jc w:val="both"/>
        <w:rPr/>
      </w:pPr>
      <w:r>
        <w:rPr>
          <w:rFonts w:cs="Calibri" w:ascii="Arial" w:hAnsi="Arial"/>
          <w:color w:val="000000"/>
          <w:sz w:val="20"/>
          <w:szCs w:val="20"/>
        </w:rPr>
        <w:tab/>
        <w:t>c. nieprzekazania materiałów dydaktycznych wszystkim uczestnikom poradnictwa.</w:t>
      </w:r>
    </w:p>
    <w:p>
      <w:pPr>
        <w:pStyle w:val="Normal"/>
        <w:spacing w:lineRule="auto" w:line="360" w:before="0" w:after="0"/>
        <w:jc w:val="both"/>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pPr>
      <w:r>
        <w:rPr>
          <w:rFonts w:cs="Calibri" w:ascii="Arial" w:hAnsi="Arial"/>
          <w:color w:val="000000"/>
          <w:sz w:val="20"/>
          <w:szCs w:val="20"/>
        </w:rPr>
        <w:t>e) Zamawiający może odstąpić od umowy , jeżeli wyjdzie na jaw, że w toku postępowania o udzielenie zamówienia, Wykonawca złożył oświadczenie niezgodne z prawdą, w terminie 7 dni od powzięcia wiadomości o tych okolicznościach.</w:t>
      </w:r>
    </w:p>
    <w:p>
      <w:pPr>
        <w:pStyle w:val="Normal"/>
        <w:spacing w:lineRule="auto" w:line="360" w:before="0" w:after="0"/>
        <w:jc w:val="both"/>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pPr>
      <w:r>
        <w:rPr>
          <w:rFonts w:cs="Calibri" w:ascii="Arial" w:hAnsi="Arial"/>
          <w:color w:val="000000"/>
          <w:sz w:val="20"/>
          <w:szCs w:val="20"/>
        </w:rPr>
        <w:t xml:space="preserve">h) Zamawiający ma prawo odstąpienia od umowy z przyczyn leżących po stronie Wykonawcy 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b) wypłata zaliczki nastąpi na rachunek bankowy Wykonawcy,</w:t>
      </w:r>
    </w:p>
    <w:p>
      <w:pPr>
        <w:pStyle w:val="Normal"/>
        <w:spacing w:lineRule="auto" w:line="360" w:before="0" w:after="0"/>
        <w:jc w:val="both"/>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 xml:space="preserve">d) w przypadku gdy przedmiot Umowy nie zostanie wykonany lub wykonany zostanie częściowo lub zostanie nienależycie wykonany, zaliczka podlega zwrotowi w całości lub 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3) o przeniesieniu praw majątkowych do wszelkich materiałów wytworzonych i wykorzystanych podczas realizacji umowy. Wykonawcy nie będzie przysługiwało dodatkowe wynagrodzenie z tego tytułu,</w:t>
      </w:r>
    </w:p>
    <w:p>
      <w:pPr>
        <w:pStyle w:val="Normal"/>
        <w:spacing w:lineRule="auto" w:line="360" w:before="0" w:after="0"/>
        <w:jc w:val="both"/>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1) oczywistych omyłek pisarskich,</w:t>
      </w:r>
    </w:p>
    <w:p>
      <w:pPr>
        <w:pStyle w:val="Normal"/>
        <w:spacing w:lineRule="auto" w:line="360" w:before="0" w:after="0"/>
        <w:jc w:val="both"/>
        <w:rPr/>
      </w:pPr>
      <w:r>
        <w:rPr>
          <w:rFonts w:cs="Calibri" w:ascii="Arial" w:hAnsi="Arial"/>
          <w:color w:val="000000"/>
          <w:sz w:val="20"/>
          <w:szCs w:val="20"/>
        </w:rPr>
        <w:t>2) zmiany danych teleadresowych,</w:t>
      </w:r>
    </w:p>
    <w:p>
      <w:pPr>
        <w:pStyle w:val="Normal"/>
        <w:spacing w:lineRule="auto" w:line="360" w:before="0" w:after="0"/>
        <w:jc w:val="both"/>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usług doradczych, ostatecznej liczby Uczestników/ Uczestniczek Projektu), w przypadku zaistnienia okoliczności, w których zbędne będzie </w:t>
        <w:tab/>
        <w:t>wykonanie danej części zamówienia wraz ze związanym z tym obniżeniem wynagrodzenia, w szczególności w wyniku zmian dokonanych i zaakceptowanych przez Instytucję Pośredniczącą w umowie o dofinansowanie/wniosku o dofinansowanie realizacji Projektu, jak również ze względu na wyniki rekrutacji Uczestników/Uczestniczek Projektu;</w:t>
      </w:r>
    </w:p>
    <w:p>
      <w:pPr>
        <w:pStyle w:val="Normal"/>
        <w:spacing w:lineRule="auto" w:line="360" w:before="0" w:after="0"/>
        <w:jc w:val="both"/>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1) Posiada potencjał kadrowy, tj. dysponuje co najmniej 1 psychologiem  legitymującym się:</w:t>
      </w:r>
    </w:p>
    <w:p>
      <w:pPr>
        <w:pStyle w:val="Normal"/>
        <w:spacing w:lineRule="auto" w:line="360" w:before="0" w:after="0"/>
        <w:jc w:val="both"/>
        <w:rPr/>
      </w:pPr>
      <w:r>
        <w:rPr>
          <w:rFonts w:cs="Calibri" w:ascii="Arial" w:hAnsi="Arial"/>
          <w:color w:val="000000"/>
          <w:sz w:val="20"/>
          <w:szCs w:val="20"/>
        </w:rPr>
        <w:t xml:space="preserve">a) wykształcenie wyższe pierwszego lub drugiego stopnia w rozumieniu przepisów o szkolnictwie wyższym (tj. wykształcenie wyższe na kierunku psychologia). Wykonawca jest </w:t>
        <w:tab/>
        <w:t xml:space="preserve">zobowiązany załączyć kopie dokumentów potwierdzających posiadane wykształcenie oraz kwalifikacje. </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poradnictwa psychologicznego lub pokrewnego  dla osób zagrożonych ubóstwem lub wykluczeniem społecznym, przez okres co najmniej 24 miesięcy w ciągu ostatnich 5 lat. Zamawiający wymaga, aby Wykonawca </w:t>
        <w:tab/>
        <w:t>realizował lub wskazane przez niego osoby realizowały, usługi w każdym miesiącu wykazywanym jako 2-letnie doświadczenie zawodowe. Ww. usługa nie musi być natomiast realizowana w sposób ciągły, tj. nieprzerwanie przez okres dwóch lat.</w:t>
      </w:r>
    </w:p>
    <w:p>
      <w:pPr>
        <w:pStyle w:val="Normal"/>
        <w:spacing w:lineRule="auto" w:line="360" w:before="0" w:after="0"/>
        <w:jc w:val="both"/>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 xml:space="preserve">Spełnienie warunków nr 1 a)-b) weryfikowane będzie na podstawie stosownych oświadczeń Wykonawcy załączonych do oferty, sporządzonych zgodnie ze wzorem określonym w </w:t>
        <w:tab/>
        <w:t>Załączniku nr 3 – Potencjał kadrowy oraz z uwzględnieniem zapisów części IV Zapytania (Szczegółowy opis przedmiotu zamówienia) punktów 7-9 .</w:t>
      </w:r>
    </w:p>
    <w:p>
      <w:pPr>
        <w:pStyle w:val="Normal"/>
        <w:spacing w:lineRule="auto" w:line="360" w:before="0" w:after="0"/>
        <w:jc w:val="both"/>
        <w:rPr/>
      </w:pPr>
      <w:r>
        <w:rPr>
          <w:rFonts w:cs="Calibri" w:ascii="Arial" w:hAnsi="Arial"/>
          <w:color w:val="000000"/>
          <w:sz w:val="20"/>
          <w:szCs w:val="20"/>
        </w:rPr>
        <w:t xml:space="preserve">2) Nie posiadają powiązań osobowych lub kapitałowych z Zamawiającym. Wykonawcy </w:t>
        <w:tab/>
        <w:t>powiązani osobowo lub kapitałowo z Zamawiającym podlegają wykluczeniu z możliwości udzielenia zamówienia.</w:t>
      </w:r>
    </w:p>
    <w:p>
      <w:pPr>
        <w:pStyle w:val="Normal"/>
        <w:spacing w:lineRule="auto" w:line="360" w:before="0" w:after="0"/>
        <w:jc w:val="both"/>
        <w:rPr/>
      </w:pPr>
      <w:r>
        <w:rPr>
          <w:rFonts w:cs="Calibri" w:ascii="Arial" w:hAnsi="Arial"/>
          <w:color w:val="000000"/>
          <w:sz w:val="20"/>
          <w:szCs w:val="20"/>
        </w:rPr>
        <w:t xml:space="preserve">Przez powiązania kapitałowe lub osobowe rozumie się wzajemne powiązania między </w:t>
        <w:tab/>
        <w:t xml:space="preserve">Wykonawcą, a Zamawiającym lub osobami upoważnionymi do zaciągania zobowiązań w imieniu Zamawiającego lub osobami wykonującymi w imieniu Zamawiającego czynności 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b) posiadaniu co najmniej 10% udziałów lub akcji,</w:t>
      </w:r>
    </w:p>
    <w:p>
      <w:pPr>
        <w:pStyle w:val="Normal"/>
        <w:spacing w:lineRule="auto" w:line="360" w:before="0" w:after="0"/>
        <w:jc w:val="both"/>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pPr>
      <w:r>
        <w:rPr>
          <w:rFonts w:cs="Calibri" w:ascii="Arial" w:hAnsi="Arial"/>
          <w:color w:val="000000"/>
          <w:sz w:val="20"/>
          <w:szCs w:val="20"/>
        </w:rPr>
        <w:t>Kryterium weryfikowane będzie na podstawie oświadczenia Wykonawcy załączonego do oferty, sporządzonego zgodnie ze wzorem określonym w Załączniku nr 2 do niniejszego Zapytania ofertowego.</w:t>
      </w:r>
    </w:p>
    <w:p>
      <w:pPr>
        <w:pStyle w:val="Normal"/>
        <w:spacing w:lineRule="auto" w:line="360" w:before="0" w:after="0"/>
        <w:jc w:val="both"/>
        <w:rPr/>
      </w:pPr>
      <w:r>
        <w:rPr>
          <w:rFonts w:cs="Calibri" w:ascii="Arial" w:hAnsi="Arial"/>
          <w:color w:val="000000"/>
          <w:sz w:val="20"/>
          <w:szCs w:val="20"/>
        </w:rPr>
        <w:t>3) Nie są pracownikami Zamawiającego, tj. nie są przez Zamawiającego zatrudnione na 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pPr>
      <w:r>
        <w:rPr>
          <w:rFonts w:cs="Calibri" w:ascii="Arial" w:hAnsi="Arial"/>
          <w:color w:val="000000"/>
          <w:sz w:val="20"/>
          <w:szCs w:val="20"/>
        </w:rPr>
        <w:t>5) Opracują i załączą do formularza ofertowego, program na 5 godzin zegarowych usługi poradnictwa psychologicznego,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1) jej treść nie odpowiada treści zapytania ofertowego,</w:t>
      </w:r>
    </w:p>
    <w:p>
      <w:pPr>
        <w:pStyle w:val="Normal"/>
        <w:spacing w:lineRule="auto" w:line="360" w:before="0" w:after="0"/>
        <w:jc w:val="both"/>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pPr>
      <w:r>
        <w:rPr>
          <w:rFonts w:ascii="Arial" w:hAnsi="Arial"/>
          <w:color w:val="000000"/>
          <w:sz w:val="20"/>
          <w:szCs w:val="20"/>
        </w:rPr>
        <w:t>3) została złożona przez Wykonawcę niespełniającego warunków udziału określonych w niniejszym zapytaniu ofertowym lub została złożona przez Wykonawcę podlegającego wykluczeniu,</w:t>
      </w:r>
    </w:p>
    <w:p>
      <w:pPr>
        <w:pStyle w:val="Normal"/>
        <w:spacing w:lineRule="auto" w:line="360" w:before="0" w:after="0"/>
        <w:jc w:val="both"/>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964"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171" w:after="257"/>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jc w:val="center"/>
              <w:rPr/>
            </w:pPr>
            <w:r>
              <w:rPr>
                <w:rFonts w:ascii="Arial" w:hAnsi="Arial"/>
                <w:color w:val="000000"/>
                <w:sz w:val="20"/>
                <w:szCs w:val="20"/>
              </w:rPr>
              <w:t>C – liczba punktów badanej oferty za cenę za całość zamówienia</w:t>
            </w:r>
          </w:p>
          <w:p>
            <w:pPr>
              <w:pStyle w:val="Zawartotabeli"/>
              <w:spacing w:lineRule="auto" w:line="240" w:before="0" w:after="0"/>
              <w:jc w:val="center"/>
              <w:rPr/>
            </w:pPr>
            <w:r>
              <w:rPr>
                <w:rFonts w:ascii="Arial" w:hAnsi="Arial"/>
                <w:color w:val="000000"/>
                <w:sz w:val="20"/>
                <w:szCs w:val="20"/>
              </w:rPr>
              <w:t>NC – cena oferty o najniższej cenie</w:t>
            </w:r>
          </w:p>
          <w:p>
            <w:pPr>
              <w:pStyle w:val="Zawartotabeli"/>
              <w:spacing w:lineRule="auto" w:line="240" w:before="57" w:after="143"/>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7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189"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342" w:after="542"/>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spacing w:before="0" w:after="0"/>
              <w:rPr/>
            </w:pPr>
            <w:r>
              <w:rPr>
                <w:rFonts w:ascii="Arial" w:hAnsi="Arial"/>
                <w:color w:val="000000"/>
                <w:sz w:val="20"/>
                <w:szCs w:val="20"/>
              </w:rPr>
              <w:t>ND – liczba godzin zrealizowanych usługi z oferty, w której wykazano</w:t>
            </w:r>
          </w:p>
          <w:p>
            <w:pPr>
              <w:pStyle w:val="Zawartotabeli"/>
              <w:suppressLineNumbers/>
              <w:spacing w:before="0" w:after="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psychologa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228" w:after="428"/>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0"/>
              <w:rPr/>
            </w:pPr>
            <w:r>
              <w:rPr>
                <w:rFonts w:ascii="Arial" w:hAnsi="Arial"/>
                <w:color w:val="000000"/>
                <w:sz w:val="20"/>
                <w:szCs w:val="20"/>
              </w:rPr>
              <w:t>R – łączna liczba punktów badanej oferty</w:t>
            </w:r>
          </w:p>
          <w:p>
            <w:pPr>
              <w:pStyle w:val="Zawartotabeli"/>
              <w:spacing w:before="0" w:after="0"/>
              <w:rPr/>
            </w:pPr>
            <w:r>
              <w:rPr>
                <w:rFonts w:ascii="Arial" w:hAnsi="Arial"/>
                <w:color w:val="000000"/>
                <w:sz w:val="20"/>
                <w:szCs w:val="20"/>
              </w:rPr>
              <w:t>C – liczba punktów badanej oferty za cenę</w:t>
            </w:r>
          </w:p>
          <w:p>
            <w:pPr>
              <w:pStyle w:val="Zawartotabeli"/>
              <w:spacing w:before="0" w:after="0"/>
              <w:rPr/>
            </w:pPr>
            <w:r>
              <w:rPr>
                <w:rFonts w:ascii="Arial" w:hAnsi="Arial"/>
                <w:color w:val="000000"/>
                <w:sz w:val="20"/>
                <w:szCs w:val="20"/>
              </w:rPr>
              <w:t>D – liczba punktów badanej oferty za potencjał kadrowy</w:t>
            </w:r>
          </w:p>
          <w:p>
            <w:pPr>
              <w:pStyle w:val="Zawartotabeli"/>
              <w:suppressLineNumbers/>
              <w:spacing w:before="0" w:after="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Fundacja „Optimo Modo”, ul. Karola Miarki 48, 58-500 Jelenia Góra lub przesłać drogą elektroniczną na adres e-mail: optimomodo@interia.pl z tytułem wiadomości "OFERTA W RAMACH ZAPYTANIA 2/2023/0086/9.1.1”.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2/2023/0086/9.1.1”.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1) zamknięcia postępowania bez wybrania którejkolwiek z ofert,</w:t>
      </w:r>
    </w:p>
    <w:p>
      <w:pPr>
        <w:pStyle w:val="Normal"/>
        <w:spacing w:lineRule="auto" w:line="360" w:before="0" w:after="0"/>
        <w:jc w:val="both"/>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31.08.2023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hanging="0"/>
        <w:jc w:val="both"/>
        <w:rPr>
          <w:b w:val="false"/>
          <w:b w:val="false"/>
          <w:bCs w:val="false"/>
        </w:rPr>
      </w:pPr>
      <w:r>
        <w:rPr>
          <w:rFonts w:cs="Calibri" w:ascii="Arial" w:hAnsi="Arial"/>
          <w:b w:val="false"/>
          <w:bCs w:val="false"/>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rFonts w:ascii="Arial" w:hAnsi="Arial" w:cs="" w:cstheme="minorHAnsi"/>
          <w:b/>
          <w:b/>
          <w:i/>
          <w:i/>
          <w:sz w:val="22"/>
          <w:szCs w:val="22"/>
        </w:rPr>
      </w:pPr>
      <w:r>
        <w:rPr>
          <w:rFonts w:cs="" w:cstheme="minorHAnsi" w:ascii="Arial" w:hAnsi="Arial"/>
          <w:b/>
          <w:i/>
          <w:sz w:val="22"/>
          <w:szCs w:val="22"/>
        </w:rPr>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rFonts w:ascii="Arial" w:hAnsi="Arial"/>
          <w:sz w:val="22"/>
          <w:szCs w:val="22"/>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2/2023/0086</w:t>
      </w:r>
      <w:r>
        <w:rPr>
          <w:rFonts w:eastAsia="Times New Roman" w:cs="" w:ascii="Arial" w:hAnsi="Arial" w:cstheme="minorHAnsi"/>
          <w:b/>
          <w:spacing w:val="-4"/>
          <w:sz w:val="22"/>
          <w:szCs w:val="22"/>
        </w:rPr>
        <w:t>/9.1.1</w:t>
      </w:r>
      <w:r>
        <w:rPr>
          <w:rFonts w:cs="" w:ascii="Arial" w:hAnsi="Arial" w:cstheme="minorHAnsi"/>
          <w:sz w:val="22"/>
          <w:szCs w:val="22"/>
        </w:rPr>
        <w:t>, na przeprowadzenie poradnictwa psychologicznego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2"/>
                <w:szCs w:val="22"/>
                <w:highlight w:val="lightGray"/>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PORADNICTWA PSYCHOLOGICZNEGO</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3"/>
        </w:numPr>
        <w:spacing w:before="0" w:after="0"/>
        <w:contextualSpacing/>
        <w:rPr>
          <w:rFonts w:cs="" w:cstheme="minorHAnsi"/>
          <w:b/>
          <w:b/>
        </w:rPr>
      </w:pPr>
      <w:r>
        <w:rPr>
          <w:rFonts w:cs="" w:cstheme="minorHAnsi"/>
          <w:b/>
        </w:rPr>
      </w:r>
    </w:p>
    <w:p>
      <w:pPr>
        <w:pStyle w:val="ListParagraph"/>
        <w:numPr>
          <w:ilvl w:val="0"/>
          <w:numId w:val="3"/>
        </w:numPr>
        <w:spacing w:before="0" w:after="0"/>
        <w:contextualSpacing/>
        <w:rPr>
          <w:rFonts w:cs="" w:cstheme="minorHAnsi"/>
          <w:b/>
          <w:b/>
        </w:rPr>
      </w:pPr>
      <w:r>
        <w:rPr>
          <w:rFonts w:cs="" w:cstheme="minorHAnsi"/>
          <w:b/>
        </w:rPr>
      </w:r>
    </w:p>
    <w:p>
      <w:pPr>
        <w:pStyle w:val="ListParagraph"/>
        <w:numPr>
          <w:ilvl w:val="0"/>
          <w:numId w:val="3"/>
        </w:numPr>
        <w:spacing w:lineRule="auto" w:line="240" w:before="240" w:after="120"/>
        <w:contextualSpacing/>
        <w:rPr>
          <w:rFonts w:ascii="Arial" w:hAnsi="Arial"/>
          <w:sz w:val="22"/>
          <w:szCs w:val="22"/>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4"/>
        </w:numPr>
        <w:overflowPunct w:val="fals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4"/>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Czytelny podpis Wykonawcy</w:t>
            </w:r>
          </w:p>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sz w:val="22"/>
          <w:szCs w:val="22"/>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rFonts w:ascii="Arial" w:hAnsi="Arial"/>
          <w:sz w:val="22"/>
          <w:szCs w:val="22"/>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nr</w:t>
      </w:r>
      <w:r>
        <w:rPr>
          <w:rFonts w:cs="" w:ascii="Arial" w:hAnsi="Arial" w:cstheme="minorHAnsi"/>
          <w:b/>
          <w:bCs/>
          <w:color w:val="000000" w:themeColor="text1"/>
          <w:spacing w:val="-4"/>
          <w:sz w:val="22"/>
          <w:szCs w:val="22"/>
        </w:rPr>
        <w:t xml:space="preserve"> 2/2023/0086</w:t>
      </w:r>
      <w:bookmarkStart w:id="6" w:name="__DdeLink__13579_3900472925"/>
      <w:r>
        <w:rPr>
          <w:rFonts w:eastAsia="Times New Roman" w:cs="" w:ascii="Arial" w:hAnsi="Arial" w:cstheme="minorHAnsi"/>
          <w:b/>
          <w:color w:val="000000"/>
          <w:spacing w:val="-4"/>
          <w:sz w:val="22"/>
          <w:szCs w:val="22"/>
        </w:rPr>
        <w:t>/</w:t>
      </w:r>
      <w:bookmarkEnd w:id="6"/>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na przeprowadzenie poradnictwa psychologicznego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1"/>
          <w:numId w:val="3"/>
        </w:numPr>
        <w:tabs>
          <w:tab w:val="left" w:pos="709" w:leader="none"/>
        </w:tabs>
        <w:spacing w:lineRule="auto" w:line="360"/>
        <w:ind w:left="709"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rFonts w:ascii="Arial" w:hAnsi="Arial"/>
                <w:sz w:val="22"/>
                <w:szCs w:val="22"/>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2/2023/0086</w:t>
      </w:r>
      <w:r>
        <w:rPr>
          <w:rFonts w:eastAsia="Times New Roman" w:cs="" w:ascii="Arial" w:hAnsi="Arial" w:cstheme="minorHAnsi"/>
          <w:b w:val="false"/>
          <w:bCs w:val="false"/>
          <w:i/>
          <w:color w:val="000000"/>
          <w:spacing w:val="-4"/>
          <w:sz w:val="22"/>
          <w:szCs w:val="22"/>
        </w:rPr>
        <w:t>/9.1.1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29" w:type="dxa"/>
        <w:jc w:val="left"/>
        <w:tblInd w:w="108" w:type="dxa"/>
        <w:tblCellMar>
          <w:top w:w="0" w:type="dxa"/>
          <w:left w:w="108" w:type="dxa"/>
          <w:bottom w:w="0" w:type="dxa"/>
          <w:right w:w="108" w:type="dxa"/>
        </w:tblCellMar>
        <w:tblLook w:val="04a0" w:noHBand="0" w:noVBand="1" w:firstColumn="1" w:lastRow="0" w:lastColumn="0" w:firstRow="1"/>
      </w:tblPr>
      <w:tblGrid>
        <w:gridCol w:w="2999"/>
        <w:gridCol w:w="6129"/>
      </w:tblGrid>
      <w:tr>
        <w:trPr>
          <w:trHeight w:val="344"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psychologa:</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sz w:val="22"/>
          <w:szCs w:val="22"/>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tabs>
          <w:tab w:val="clear" w:pos="709"/>
          <w:tab w:val="left" w:pos="8370" w:leader="none"/>
        </w:tabs>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2. DOŚWIADCZENIE W REALIZACJI USŁUG TOŻSAMYCH LUB PODOBNYCH TEMATYCZNIE W OKRESIE OSTATNICH 5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pPr>
      <w:r>
        <w:rPr>
          <w:rFonts w:cs="Calibri"/>
          <w:b/>
          <w:sz w:val="22"/>
          <w:szCs w:val="22"/>
        </w:rPr>
        <w:t>3.  PSYCHOLOG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4.  WYKAZ GODZIN PORADNICTWA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7" w:name="_GoBack"/>
            <w:bookmarkEnd w:id="7"/>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rFonts w:ascii="Arial" w:hAnsi="Arial"/>
          <w:sz w:val="22"/>
          <w:szCs w:val="22"/>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pStyle w:val="NoSpacing"/>
        <w:spacing w:lineRule="auto" w:line="240" w:before="0" w:after="0"/>
        <w:ind w:firstLine="284"/>
        <w:jc w:val="right"/>
        <w:rPr/>
      </w:pPr>
      <w:r>
        <w:rPr/>
      </w:r>
    </w:p>
    <w:p>
      <w:pPr>
        <w:sectPr>
          <w:headerReference w:type="default" r:id="rId6"/>
          <w:footerReference w:type="default" r:id="rId7"/>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pStyle w:val="NoSpacing"/>
        <w:spacing w:lineRule="auto" w:line="240" w:before="0" w:after="0"/>
        <w:ind w:firstLine="284"/>
        <w:jc w:val="right"/>
        <w:rPr/>
      </w:pPr>
      <w:r>
        <w:rPr/>
      </w:r>
    </w:p>
    <w:p>
      <w:pPr>
        <w:pStyle w:val="ListParagraph"/>
        <w:spacing w:lineRule="auto" w:line="240" w:before="0" w:after="0"/>
        <w:ind w:left="-108" w:right="0" w:hanging="0"/>
        <w:contextualSpacing/>
        <w:jc w:val="right"/>
        <w:rPr/>
      </w:pPr>
      <w:r>
        <w:rPr>
          <w:rFonts w:cs="Arial" w:ascii="Arial" w:hAnsi="Arial"/>
          <w:b w:val="false"/>
          <w:bCs w:val="false"/>
          <w:i/>
          <w:color w:val="000000"/>
          <w:sz w:val="22"/>
          <w:szCs w:val="22"/>
        </w:rPr>
        <w:t xml:space="preserve">Załącznik nr 4 do postępowania nr 1/2023/0086/9.1.1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10/2022/0086/9.1.1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8" w:name="_Hlk99016800"/>
      <w:bookmarkEnd w:id="8"/>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9"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9"/>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10" w:name="_Hlk99016450"/>
      <w:r>
        <w:rPr>
          <w:rFonts w:cs="Arial" w:ascii="Arial" w:hAnsi="Arial"/>
          <w:sz w:val="21"/>
          <w:szCs w:val="21"/>
        </w:rPr>
        <w:t>…………..…………………………………………………..…………………………………………..</w:t>
      </w:r>
      <w:bookmarkEnd w:id="10"/>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1" w:name="_Hlk99005462"/>
      <w:r>
        <w:rPr>
          <w:rFonts w:cs="Arial" w:ascii="Arial" w:hAnsi="Arial"/>
          <w:i/>
          <w:sz w:val="16"/>
          <w:szCs w:val="16"/>
        </w:rPr>
        <w:t xml:space="preserve">(wskazać </w:t>
      </w:r>
      <w:bookmarkEnd w:id="11"/>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2" w:name="_Hlk99014455"/>
      <w:r>
        <w:rPr>
          <w:rFonts w:cs="Arial" w:ascii="Arial" w:hAnsi="Arial"/>
          <w:i/>
          <w:sz w:val="16"/>
          <w:szCs w:val="16"/>
        </w:rPr>
        <w:t>(wskazać nazwę/y podmiotu/ów)</w:t>
      </w:r>
      <w:bookmarkEnd w:id="12"/>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3" w:name="_GoBack1"/>
      <w:bookmarkStart w:id="14" w:name="_GoBack1"/>
      <w:bookmarkEnd w:id="14"/>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5" w:name="_Hlk99009560"/>
      <w:bookmarkEnd w:id="15"/>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8"/>
      <w:footerReference w:type="default" r:id="rId9"/>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21">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pPr>
    <w:r>
      <w:rPr/>
      <w:drawing>
        <wp:anchor behindDoc="1" distT="0" distB="0" distL="0" distR="0" simplePos="0" locked="0" layoutInCell="1" allowOverlap="1" relativeHeight="7">
          <wp:simplePos x="0" y="0"/>
          <wp:positionH relativeFrom="column">
            <wp:posOffset>176530</wp:posOffset>
          </wp:positionH>
          <wp:positionV relativeFrom="paragraph">
            <wp:posOffset>635</wp:posOffset>
          </wp:positionV>
          <wp:extent cx="5751195" cy="1144905"/>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rcRect l="-8" t="-40" r="-8" b="-40"/>
                  <a:stretch>
                    <a:fillRect/>
                  </a:stretch>
                </pic:blipFill>
                <pic:spPr bwMode="auto">
                  <a:xfrm>
                    <a:off x="0" y="0"/>
                    <a:ext cx="5751195" cy="1144905"/>
                  </a:xfrm>
                  <a:prstGeom prst="rect">
                    <a:avLst/>
                  </a:prstGeom>
                </pic:spPr>
              </pic:pic>
            </a:graphicData>
          </a:graphic>
        </wp:anchor>
      </w:drawing>
    </w:r>
  </w:p>
  <w:p>
    <w:pPr>
      <w:pStyle w:val="Stopka"/>
      <w:tabs>
        <w:tab w:val="clear" w:pos="709"/>
        <w:tab w:val="right" w:pos="9639" w:leader="none"/>
      </w:tabs>
      <w:ind w:left="0" w:right="-567" w:hanging="0"/>
      <w:jc w:val="center"/>
      <w:rPr/>
    </w:pP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7545" cy="570865"/>
          <wp:effectExtent l="0" t="0" r="0" b="0"/>
          <wp:docPr id="5"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6" descr=""/>
                  <pic:cNvPicPr>
                    <a:picLocks noChangeAspect="1" noChangeArrowheads="1"/>
                  </pic:cNvPicPr>
                </pic:nvPicPr>
                <pic:blipFill>
                  <a:blip r:embed="rId1"/>
                  <a:srcRect l="-31" t="-314" r="-31" b="-314"/>
                  <a:stretch>
                    <a:fillRect/>
                  </a:stretch>
                </pic:blipFill>
                <pic:spPr bwMode="auto">
                  <a:xfrm>
                    <a:off x="0" y="0"/>
                    <a:ext cx="5757545" cy="570865"/>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rFonts w:ascii="Calibri" w:hAnsi="Calibri" w:cs="Calibri"/>
        <w:sz w:val="22"/>
        <w:szCs w:val="22"/>
        <w:lang w:val="pl-PL" w:eastAsia="pl-PL"/>
      </w:rPr>
    </w:pPr>
    <w:r>
      <w:rPr>
        <w:rFonts w:cs="Calibri" w:ascii="Calibri" w:hAnsi="Calibri"/>
        <w:sz w:val="22"/>
        <w:szCs w:val="22"/>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overflowPunct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1775</TotalTime>
  <Application>LibreOffice/6.4.7.2$Linux_X86_64 LibreOffice_project/40$Build-2</Application>
  <Pages>20</Pages>
  <Words>5453</Words>
  <Characters>37202</Characters>
  <CharactersWithSpaces>42517</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2023-01-26T13:03:50Z</cp:lastPrinted>
  <dcterms:modified xsi:type="dcterms:W3CDTF">2023-01-26T14:07:06Z</dcterms:modified>
  <cp:revision>76</cp:revision>
  <dc:subject/>
  <dc:title/>
</cp:coreProperties>
</file>